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4" w:rsidRDefault="00445A04" w:rsidP="00445A0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Аннотация</w:t>
      </w:r>
      <w:bookmarkStart w:id="0" w:name="_GoBack"/>
      <w:bookmarkEnd w:id="0"/>
    </w:p>
    <w:p w:rsidR="00445A04" w:rsidRDefault="00445A04" w:rsidP="00445A0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</w:p>
    <w:p w:rsidR="00445A04" w:rsidRDefault="00445A04" w:rsidP="00445A0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Старший дошкольный возраст – это период активного познания, творчества, общения, а также период подготовки к новому этапу в жизни - школьному обучению. Программа «Познай-ка» направлена на создание комфортных условий для интеллектуального и личностного развития ребенка дошкольного возраста, успешного вступления его в новую социальную роль – роль ученика. Ведущим методом обучения является дидактическая игра, в ходе которой педагог пополняет и расширяет знания детей при помощи игровых приёмов, с опорой на наглядно-предметное мышление.</w:t>
      </w:r>
    </w:p>
    <w:p w:rsidR="00445A04" w:rsidRDefault="00445A04" w:rsidP="00445A0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4C505F"/>
          <w:sz w:val="23"/>
          <w:szCs w:val="23"/>
        </w:rPr>
      </w:pPr>
      <w:r>
        <w:rPr>
          <w:rFonts w:ascii="Arial" w:hAnsi="Arial" w:cs="Arial"/>
          <w:color w:val="4C505F"/>
          <w:sz w:val="23"/>
          <w:szCs w:val="23"/>
        </w:rPr>
        <w:t>В основе программы лежит принцип интегрированного обучения, что выражается в тесной взаимосвязи всех предметов: развитие речи, развитие логики, элементарных логических представлений, конструирование, развитие творческих способностей, эмоционально-волевой сферы</w:t>
      </w:r>
    </w:p>
    <w:p w:rsidR="006C0638" w:rsidRDefault="006C0638"/>
    <w:sectPr w:rsidR="006C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04"/>
    <w:rsid w:val="00445A04"/>
    <w:rsid w:val="006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2023-10-26T11:43:00Z</dcterms:created>
  <dcterms:modified xsi:type="dcterms:W3CDTF">2023-10-26T11:44:00Z</dcterms:modified>
</cp:coreProperties>
</file>